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1" w:type="dxa"/>
        <w:tblInd w:w="-6" w:type="dxa"/>
        <w:tblCellMar>
          <w:top w:w="16" w:type="dxa"/>
          <w:left w:w="66" w:type="dxa"/>
          <w:right w:w="27" w:type="dxa"/>
        </w:tblCellMar>
        <w:tblLook w:val="04A0" w:firstRow="1" w:lastRow="0" w:firstColumn="1" w:lastColumn="0" w:noHBand="0" w:noVBand="1"/>
      </w:tblPr>
      <w:tblGrid>
        <w:gridCol w:w="2265"/>
        <w:gridCol w:w="11786"/>
      </w:tblGrid>
      <w:tr w:rsidR="00E26705" w:rsidRPr="00163584" w:rsidTr="00B76B84">
        <w:trPr>
          <w:trHeight w:val="526"/>
        </w:trPr>
        <w:tc>
          <w:tcPr>
            <w:tcW w:w="22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7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26705" w:rsidRPr="00635DF9" w:rsidRDefault="00E26705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UČITEĽSTVO AKADEMICKÝCH PREDMETOV </w:t>
            </w:r>
          </w:p>
        </w:tc>
      </w:tr>
      <w:tr w:rsidR="00E26705" w:rsidRPr="00163584" w:rsidTr="00B76B84">
        <w:trPr>
          <w:trHeight w:val="526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7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26705" w:rsidRPr="00635DF9" w:rsidRDefault="00E26705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b/>
                <w:szCs w:val="22"/>
              </w:rPr>
              <w:t xml:space="preserve">Učiteľstvo chémie – magisterské štúdium </w:t>
            </w:r>
          </w:p>
        </w:tc>
      </w:tr>
      <w:tr w:rsidR="00E26705" w:rsidRPr="00163584" w:rsidTr="00B76B84">
        <w:trPr>
          <w:trHeight w:val="526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7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26705" w:rsidRPr="00635DF9" w:rsidRDefault="00E26705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UACH </w:t>
            </w:r>
          </w:p>
        </w:tc>
      </w:tr>
      <w:tr w:rsidR="00E26705" w:rsidRPr="00163584" w:rsidTr="00B76B84">
        <w:trPr>
          <w:trHeight w:val="631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7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2" w:right="8066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doc. RNDr. Jarmila Kmeťová, PhD. doc. RNDr. Miroslav Medveď, PhD. </w:t>
            </w:r>
          </w:p>
        </w:tc>
      </w:tr>
      <w:tr w:rsidR="00E26705" w:rsidRPr="00163584" w:rsidTr="00B76B84">
        <w:trPr>
          <w:trHeight w:val="271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7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doc. RNDr. Mária </w:t>
            </w:r>
            <w:proofErr w:type="spellStart"/>
            <w:r w:rsidRPr="00635DF9">
              <w:rPr>
                <w:sz w:val="22"/>
                <w:szCs w:val="22"/>
              </w:rPr>
              <w:t>Lichvárová</w:t>
            </w:r>
            <w:proofErr w:type="spellEnd"/>
            <w:r w:rsidRPr="00635DF9">
              <w:rPr>
                <w:sz w:val="22"/>
                <w:szCs w:val="22"/>
              </w:rPr>
              <w:t xml:space="preserve">, PhD. </w:t>
            </w:r>
          </w:p>
        </w:tc>
      </w:tr>
      <w:tr w:rsidR="00E26705" w:rsidRPr="00163584" w:rsidTr="00B76B84">
        <w:trPr>
          <w:trHeight w:val="766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7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2" w:right="59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Príprava kvalifikovaných odborníkov spôsobilých pracovať v školských a mimoškolských formách výučby, ako aj pokračovať v treťom stupni vysokoškolského štúdia. Kompetencia absolventa študijného programu je na výučbu chémie na základných, stredných i vysokých školách ako aj na prácu s nadanými a talentovanými žiakmi v oblasti chémie. </w:t>
            </w:r>
          </w:p>
        </w:tc>
      </w:tr>
      <w:tr w:rsidR="00E26705" w:rsidRPr="00163584" w:rsidTr="00B76B84">
        <w:trPr>
          <w:trHeight w:val="1277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7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8B6277">
            <w:pPr>
              <w:spacing w:line="259" w:lineRule="auto"/>
              <w:ind w:left="2" w:right="46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Absolvent druhého stupňa vysokoškolského štúdia (Mgr.) v študijnom programe učiteľstvo chémie je spôsobilý pracovať ako učiteľ na úrovni nižšieho a vyššieho sekundárneho vzdelávania a vysokej školy. Ovláda základný obsah chemických disciplín. Okrem zvládnutia učiteľskej spôsobilosti je schopný participovať alebo riadiť vývoj metodických materiálov pre výučbu chémie. Má poznatky z metód výskumu a vývoja v didaktike odboru pre pokračovanie v 3. stupni vysokoškolského štúdia. </w:t>
            </w:r>
          </w:p>
        </w:tc>
      </w:tr>
      <w:tr w:rsidR="00E26705" w:rsidRPr="00163584" w:rsidTr="00B76B84">
        <w:trPr>
          <w:trHeight w:val="511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7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26705" w:rsidRPr="00635DF9" w:rsidRDefault="00E26705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E26705" w:rsidRPr="00163584" w:rsidTr="00B76B84">
        <w:trPr>
          <w:trHeight w:val="526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7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Štátna skúška pozostávajúca z obhajoby diplomovej práce a ústnej skúšky z didaktiky aprobačných predmetov a portfólia pedagogickej praxe. </w:t>
            </w:r>
          </w:p>
        </w:tc>
      </w:tr>
    </w:tbl>
    <w:p w:rsidR="00E26705" w:rsidRPr="00163584" w:rsidRDefault="00E26705" w:rsidP="00E26705">
      <w:pPr>
        <w:spacing w:after="1" w:line="259" w:lineRule="auto"/>
      </w:pPr>
      <w:r w:rsidRPr="00163584">
        <w:t xml:space="preserve"> </w:t>
      </w:r>
    </w:p>
    <w:p w:rsidR="00E26705" w:rsidRPr="00163584" w:rsidRDefault="00E26705" w:rsidP="00E26705">
      <w:pPr>
        <w:spacing w:after="4" w:line="266" w:lineRule="auto"/>
        <w:ind w:left="-5"/>
      </w:pPr>
      <w:r w:rsidRPr="00163584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top w:w="14" w:type="dxa"/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1427"/>
        <w:gridCol w:w="6666"/>
        <w:gridCol w:w="555"/>
        <w:gridCol w:w="1006"/>
        <w:gridCol w:w="420"/>
        <w:gridCol w:w="571"/>
        <w:gridCol w:w="3408"/>
      </w:tblGrid>
      <w:tr w:rsidR="00E26705" w:rsidRPr="00163584" w:rsidTr="00B76B84">
        <w:trPr>
          <w:trHeight w:val="240"/>
        </w:trPr>
        <w:tc>
          <w:tcPr>
            <w:tcW w:w="1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M-UACH-101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chémie 1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 xml:space="preserve">Kmeťová, J.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Jarmila Kmeťová, PhD.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M-UACH-102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chémie 2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 xml:space="preserve">Kmeťová,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Jarmila Kmeťová, PhD. </w:t>
            </w:r>
          </w:p>
        </w:tc>
      </w:tr>
      <w:tr w:rsidR="00E26705" w:rsidRPr="00163584" w:rsidTr="00B76B84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M-UACH-103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Technika a didaktika šk. pokusov 1 </w:t>
            </w:r>
            <w:r w:rsidRPr="00635DF9">
              <w:rPr>
                <w:sz w:val="20"/>
                <w:szCs w:val="22"/>
              </w:rPr>
              <w:t xml:space="preserve">- </w:t>
            </w:r>
            <w:proofErr w:type="spellStart"/>
            <w:r w:rsidRPr="00635DF9">
              <w:rPr>
                <w:i/>
                <w:sz w:val="20"/>
                <w:szCs w:val="22"/>
              </w:rPr>
              <w:t>Lichvárová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0-0-3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Mária </w:t>
            </w:r>
            <w:proofErr w:type="spellStart"/>
            <w:r w:rsidRPr="00635DF9">
              <w:rPr>
                <w:sz w:val="20"/>
                <w:szCs w:val="22"/>
              </w:rPr>
              <w:t>Lichvárová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M-UACH-104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chémie 3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Skoršepa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Jarmila Kmeťová, PhD.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M-UACH-105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Technika a didaktika šk. pokusov 2 </w:t>
            </w:r>
            <w:r w:rsidRPr="00635DF9">
              <w:rPr>
                <w:sz w:val="20"/>
                <w:szCs w:val="22"/>
              </w:rPr>
              <w:t xml:space="preserve">- </w:t>
            </w:r>
            <w:r w:rsidRPr="00635DF9">
              <w:rPr>
                <w:i/>
                <w:sz w:val="20"/>
                <w:szCs w:val="22"/>
              </w:rPr>
              <w:t xml:space="preserve">Kmeťová,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0-0-3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doc. RNDr. Mária </w:t>
            </w:r>
            <w:proofErr w:type="spellStart"/>
            <w:r w:rsidRPr="00635DF9">
              <w:rPr>
                <w:sz w:val="20"/>
                <w:szCs w:val="22"/>
              </w:rPr>
              <w:t>Lichvárová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M-UACH-106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 vo výučbe chémie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Skoršepa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RNDr. Marek </w:t>
            </w:r>
            <w:proofErr w:type="spellStart"/>
            <w:r w:rsidRPr="00635DF9">
              <w:rPr>
                <w:sz w:val="20"/>
                <w:szCs w:val="22"/>
              </w:rPr>
              <w:t>Skoršepa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</w:tbl>
    <w:p w:rsidR="00E26705" w:rsidRDefault="00E26705" w:rsidP="00E26705">
      <w:pPr>
        <w:spacing w:after="17" w:line="259" w:lineRule="auto"/>
        <w:rPr>
          <w:b/>
        </w:rPr>
      </w:pPr>
      <w:r w:rsidRPr="00163584">
        <w:rPr>
          <w:b/>
        </w:rPr>
        <w:t xml:space="preserve"> </w:t>
      </w:r>
    </w:p>
    <w:p w:rsidR="00E26705" w:rsidRPr="00163584" w:rsidRDefault="00E26705" w:rsidP="00E26705">
      <w:pPr>
        <w:spacing w:after="17" w:line="259" w:lineRule="auto"/>
      </w:pPr>
    </w:p>
    <w:p w:rsidR="00E26705" w:rsidRPr="00163584" w:rsidRDefault="00E26705" w:rsidP="00E26705">
      <w:pPr>
        <w:spacing w:after="4" w:line="266" w:lineRule="auto"/>
        <w:ind w:left="-5"/>
      </w:pPr>
      <w:r w:rsidRPr="00163584">
        <w:rPr>
          <w:b/>
        </w:rPr>
        <w:lastRenderedPageBreak/>
        <w:t xml:space="preserve">Povinne voliteľné predmety </w:t>
      </w:r>
    </w:p>
    <w:tbl>
      <w:tblPr>
        <w:tblW w:w="10644" w:type="dxa"/>
        <w:tblInd w:w="-8" w:type="dxa"/>
        <w:tblCellMar>
          <w:top w:w="14" w:type="dxa"/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1426"/>
        <w:gridCol w:w="6666"/>
        <w:gridCol w:w="555"/>
        <w:gridCol w:w="1006"/>
        <w:gridCol w:w="420"/>
        <w:gridCol w:w="571"/>
      </w:tblGrid>
      <w:tr w:rsidR="00E26705" w:rsidRPr="00163584" w:rsidTr="00B76B84">
        <w:trPr>
          <w:trHeight w:val="240"/>
        </w:trPr>
        <w:tc>
          <w:tcPr>
            <w:tcW w:w="1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M-UACH-212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Zaujímavé pokusy v chémii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Lichvárová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organickej chémie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Gregáň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F.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M-UACH-206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Modely usmerňovania riešenia chemických úloh – </w:t>
            </w:r>
            <w:r w:rsidRPr="00635DF9">
              <w:rPr>
                <w:i/>
                <w:sz w:val="20"/>
                <w:szCs w:val="22"/>
              </w:rPr>
              <w:t xml:space="preserve">Kmeťová, J.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biochémie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Skoršepa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1C6DC7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fyzikálnej chémie </w:t>
            </w:r>
            <w:r w:rsidRPr="00635DF9">
              <w:rPr>
                <w:i/>
                <w:sz w:val="20"/>
                <w:szCs w:val="22"/>
              </w:rPr>
              <w:t xml:space="preserve">– Medveď, M., 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M-UACH-201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Vybrané kapitoly z anorganickej chémie </w:t>
            </w:r>
            <w:r w:rsidRPr="00635DF9">
              <w:rPr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Kurucz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Počítačom podporované experimenty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Skoršepa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Dejiny chémie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Skoršepa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Environmentálna výchova vo vyučovaní chémie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Lichvárová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Verbálna a neverbálna komunikácia v chémii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Lichvárová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465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M-UACH-211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Diagnostické a </w:t>
            </w:r>
            <w:proofErr w:type="spellStart"/>
            <w:r w:rsidRPr="00635DF9">
              <w:rPr>
                <w:b/>
                <w:sz w:val="20"/>
                <w:szCs w:val="22"/>
              </w:rPr>
              <w:t>spätnoväzbové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prostriedky vo vyučovaní chémie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Kmeťová,J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E26705" w:rsidRPr="00163584" w:rsidRDefault="00E26705" w:rsidP="00E26705">
      <w:pPr>
        <w:spacing w:after="4" w:line="266" w:lineRule="auto"/>
        <w:ind w:left="-5" w:right="2826"/>
      </w:pPr>
      <w:r w:rsidRPr="00163584">
        <w:rPr>
          <w:b/>
        </w:rPr>
        <w:t xml:space="preserve">Študent je povinný získať za PV predmety minimálne 12 kreditov za celé štúdium,  v 1. a 2. semestri si študent vyberá minimálne jeden z predmetov „Vybrané kapitoly...“. </w:t>
      </w:r>
    </w:p>
    <w:p w:rsidR="00E26705" w:rsidRPr="00163584" w:rsidRDefault="00E26705" w:rsidP="00E26705">
      <w:pPr>
        <w:spacing w:after="1" w:line="259" w:lineRule="auto"/>
      </w:pPr>
      <w:r w:rsidRPr="00163584">
        <w:t xml:space="preserve"> </w:t>
      </w:r>
    </w:p>
    <w:p w:rsidR="00E26705" w:rsidRPr="00163584" w:rsidRDefault="00E26705" w:rsidP="00E26705">
      <w:pPr>
        <w:spacing w:after="4" w:line="266" w:lineRule="auto"/>
        <w:ind w:left="-5"/>
      </w:pPr>
      <w:r w:rsidRPr="00163584">
        <w:rPr>
          <w:b/>
        </w:rPr>
        <w:t xml:space="preserve">Výberové predmety </w:t>
      </w:r>
    </w:p>
    <w:tbl>
      <w:tblPr>
        <w:tblW w:w="10644" w:type="dxa"/>
        <w:tblInd w:w="-8" w:type="dxa"/>
        <w:tblCellMar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1426"/>
        <w:gridCol w:w="6666"/>
        <w:gridCol w:w="555"/>
        <w:gridCol w:w="1006"/>
        <w:gridCol w:w="420"/>
        <w:gridCol w:w="571"/>
      </w:tblGrid>
      <w:tr w:rsidR="00E26705" w:rsidRPr="00163584" w:rsidTr="00B76B84">
        <w:trPr>
          <w:trHeight w:val="255"/>
        </w:trPr>
        <w:tc>
          <w:tcPr>
            <w:tcW w:w="1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M-UACH-301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b/>
                <w:sz w:val="20"/>
                <w:szCs w:val="22"/>
              </w:rPr>
              <w:t>Bioanorganická</w:t>
            </w:r>
            <w:proofErr w:type="spellEnd"/>
            <w:r w:rsidRPr="00635DF9">
              <w:rPr>
                <w:b/>
                <w:sz w:val="20"/>
                <w:szCs w:val="22"/>
              </w:rPr>
              <w:t xml:space="preserve"> chémia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Melicherčík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M-UACH-302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Experimentálne projekty v organickej chémii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Melicherčík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M-UACH-308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Experimentálne projekty v anorganickej chémii –</w:t>
            </w:r>
            <w:r w:rsidRPr="00635DF9">
              <w:rPr>
                <w:b/>
                <w:i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Budzák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Š.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M-UACH-303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Médiá vo vyučovaní chémie </w:t>
            </w:r>
            <w:r w:rsidRPr="00635DF9">
              <w:rPr>
                <w:b/>
                <w:i/>
                <w:sz w:val="20"/>
                <w:szCs w:val="22"/>
              </w:rPr>
              <w:t xml:space="preserve">– </w:t>
            </w:r>
            <w:r w:rsidRPr="00635DF9">
              <w:rPr>
                <w:i/>
                <w:sz w:val="20"/>
                <w:szCs w:val="22"/>
              </w:rPr>
              <w:t xml:space="preserve">Kmeťová,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M-CHEC-108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Exkurzia –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Tirčová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B.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dni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M-UACH-305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Nové trendy vo vyučovaní chémie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Lichvárová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M-UACH-306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Racionálna výživa</w:t>
            </w:r>
            <w:r w:rsidRPr="00635DF9">
              <w:rPr>
                <w:sz w:val="20"/>
                <w:szCs w:val="22"/>
              </w:rPr>
              <w:t xml:space="preserve">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Lichvárová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E26705" w:rsidRPr="00163584" w:rsidTr="00B76B84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M-UACH-307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Chemické aspekty drogových závislostí </w:t>
            </w:r>
            <w:r w:rsidRPr="00635DF9">
              <w:rPr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Karabelly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26705" w:rsidRPr="00635DF9" w:rsidRDefault="00E26705" w:rsidP="00B76B8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E26705" w:rsidRPr="00163584" w:rsidRDefault="00E26705" w:rsidP="00E26705">
      <w:pPr>
        <w:spacing w:after="4" w:line="266" w:lineRule="auto"/>
        <w:ind w:left="-5"/>
      </w:pPr>
      <w:r w:rsidRPr="00163584">
        <w:rPr>
          <w:b/>
        </w:rPr>
        <w:t xml:space="preserve">Študent si môže zapísať výberové predmety z ponuky študijných programov všetkých fakúlt UMB v Banskej Bystrici. </w:t>
      </w:r>
    </w:p>
    <w:p w:rsidR="008B4568" w:rsidRDefault="008B4568"/>
    <w:sectPr w:rsidR="008B4568" w:rsidSect="00E267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05"/>
    <w:rsid w:val="001C6DC7"/>
    <w:rsid w:val="00224543"/>
    <w:rsid w:val="008B4568"/>
    <w:rsid w:val="008B6277"/>
    <w:rsid w:val="00E2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mlichvarova</cp:lastModifiedBy>
  <cp:revision>4</cp:revision>
  <dcterms:created xsi:type="dcterms:W3CDTF">2014-10-29T09:17:00Z</dcterms:created>
  <dcterms:modified xsi:type="dcterms:W3CDTF">2014-10-29T09:40:00Z</dcterms:modified>
</cp:coreProperties>
</file>